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46" w:rsidRPr="00B137D3" w:rsidRDefault="00335C46" w:rsidP="00335C46">
      <w:pPr>
        <w:jc w:val="center"/>
        <w:rPr>
          <w:rFonts w:ascii="Arial" w:hAnsi="Arial" w:cs="Arial"/>
          <w:b/>
          <w:sz w:val="28"/>
          <w:szCs w:val="28"/>
        </w:rPr>
      </w:pPr>
      <w:r w:rsidRPr="00B137D3">
        <w:rPr>
          <w:rFonts w:ascii="Arial" w:hAnsi="Arial" w:cs="Arial"/>
          <w:b/>
          <w:sz w:val="28"/>
          <w:szCs w:val="28"/>
        </w:rPr>
        <w:t>Occasion de travail étudiant</w:t>
      </w:r>
      <w:r w:rsidR="00B706D0" w:rsidRPr="00B137D3">
        <w:rPr>
          <w:rFonts w:ascii="Arial" w:hAnsi="Arial" w:cs="Arial"/>
          <w:b/>
          <w:sz w:val="28"/>
          <w:szCs w:val="28"/>
        </w:rPr>
        <w:t xml:space="preserve"> </w:t>
      </w:r>
      <w:r w:rsidRPr="00B137D3">
        <w:rPr>
          <w:rFonts w:ascii="Arial" w:hAnsi="Arial" w:cs="Arial"/>
          <w:b/>
          <w:sz w:val="28"/>
          <w:szCs w:val="28"/>
        </w:rPr>
        <w:t xml:space="preserve">à Horizons de politiques Canada </w:t>
      </w:r>
    </w:p>
    <w:p w:rsidR="00B706D0" w:rsidRPr="00B137D3" w:rsidRDefault="00B706D0" w:rsidP="00335C46">
      <w:pPr>
        <w:jc w:val="center"/>
        <w:rPr>
          <w:rFonts w:ascii="Arial" w:hAnsi="Arial" w:cs="Arial"/>
          <w:b/>
          <w:sz w:val="28"/>
          <w:szCs w:val="28"/>
        </w:rPr>
      </w:pPr>
    </w:p>
    <w:p w:rsidR="00B706D0" w:rsidRPr="00B137D3" w:rsidRDefault="00B706D0" w:rsidP="00335C46">
      <w:pPr>
        <w:jc w:val="center"/>
        <w:rPr>
          <w:rFonts w:ascii="Arial" w:hAnsi="Arial" w:cs="Arial"/>
          <w:b/>
          <w:sz w:val="28"/>
          <w:szCs w:val="28"/>
        </w:rPr>
      </w:pPr>
      <w:r w:rsidRPr="00B137D3">
        <w:rPr>
          <w:rFonts w:ascii="Arial" w:hAnsi="Arial" w:cs="Arial"/>
          <w:b/>
          <w:sz w:val="28"/>
          <w:szCs w:val="28"/>
        </w:rPr>
        <w:t>Étude des comportements </w:t>
      </w:r>
    </w:p>
    <w:p w:rsidR="00067E14" w:rsidRPr="00B137D3" w:rsidRDefault="00067E14" w:rsidP="009D5E96">
      <w:pPr>
        <w:jc w:val="center"/>
        <w:rPr>
          <w:rFonts w:ascii="Arial" w:hAnsi="Arial" w:cs="Arial"/>
          <w:b/>
          <w:sz w:val="28"/>
          <w:szCs w:val="28"/>
        </w:rPr>
      </w:pPr>
    </w:p>
    <w:p w:rsidR="009D5E96" w:rsidRPr="00B137D3" w:rsidRDefault="009D5E96" w:rsidP="009D5E96">
      <w:pPr>
        <w:jc w:val="center"/>
        <w:rPr>
          <w:rFonts w:ascii="Arial" w:hAnsi="Arial" w:cs="Arial"/>
        </w:rPr>
      </w:pPr>
    </w:p>
    <w:p w:rsidR="009D5E96" w:rsidRPr="00B137D3" w:rsidRDefault="009D5E96" w:rsidP="009D5E96">
      <w:pPr>
        <w:pStyle w:val="Default"/>
        <w:rPr>
          <w:b/>
          <w:sz w:val="23"/>
          <w:szCs w:val="23"/>
        </w:rPr>
      </w:pPr>
      <w:r w:rsidRPr="00B137D3">
        <w:rPr>
          <w:b/>
          <w:i/>
          <w:iCs/>
          <w:sz w:val="23"/>
          <w:szCs w:val="23"/>
        </w:rPr>
        <w:t xml:space="preserve">Mandat </w:t>
      </w:r>
    </w:p>
    <w:p w:rsidR="0034549D" w:rsidRPr="00B137D3" w:rsidRDefault="00335C46" w:rsidP="0034549D">
      <w:pPr>
        <w:pStyle w:val="Default"/>
        <w:rPr>
          <w:sz w:val="23"/>
          <w:szCs w:val="23"/>
        </w:rPr>
      </w:pPr>
      <w:r w:rsidRPr="00B137D3">
        <w:rPr>
          <w:sz w:val="23"/>
          <w:szCs w:val="23"/>
        </w:rPr>
        <w:t xml:space="preserve">Horizons de politiques Canada </w:t>
      </w:r>
      <w:r w:rsidR="00FB2C69" w:rsidRPr="00B137D3">
        <w:rPr>
          <w:sz w:val="23"/>
          <w:szCs w:val="23"/>
        </w:rPr>
        <w:t xml:space="preserve">(Horizons) </w:t>
      </w:r>
      <w:r w:rsidRPr="00B137D3">
        <w:rPr>
          <w:sz w:val="23"/>
          <w:szCs w:val="23"/>
        </w:rPr>
        <w:t xml:space="preserve">est une organisation innovatrice et centralisée vouée à l’apprentissage et au transfert de connaissances au gouvernement du Canada. Elle est régie par un comité directeur </w:t>
      </w:r>
      <w:r w:rsidR="006D012A" w:rsidRPr="00B137D3">
        <w:rPr>
          <w:sz w:val="23"/>
          <w:szCs w:val="23"/>
        </w:rPr>
        <w:t xml:space="preserve">composé </w:t>
      </w:r>
      <w:r w:rsidRPr="00B137D3">
        <w:rPr>
          <w:sz w:val="23"/>
          <w:szCs w:val="23"/>
        </w:rPr>
        <w:t>de neuf sous-ministr</w:t>
      </w:r>
      <w:r w:rsidR="006D012A" w:rsidRPr="00B137D3">
        <w:rPr>
          <w:sz w:val="23"/>
          <w:szCs w:val="23"/>
        </w:rPr>
        <w:t>es, qui représentent d</w:t>
      </w:r>
      <w:r w:rsidR="004169B9" w:rsidRPr="00B137D3">
        <w:rPr>
          <w:sz w:val="23"/>
          <w:szCs w:val="23"/>
        </w:rPr>
        <w:t>es</w:t>
      </w:r>
      <w:r w:rsidR="006D012A" w:rsidRPr="00B137D3">
        <w:rPr>
          <w:sz w:val="23"/>
          <w:szCs w:val="23"/>
        </w:rPr>
        <w:t xml:space="preserve"> portefeuilles stratégiques </w:t>
      </w:r>
      <w:r w:rsidR="004169B9" w:rsidRPr="00B137D3">
        <w:rPr>
          <w:sz w:val="23"/>
          <w:szCs w:val="23"/>
        </w:rPr>
        <w:t xml:space="preserve">clés </w:t>
      </w:r>
      <w:r w:rsidR="006D012A" w:rsidRPr="00B137D3">
        <w:rPr>
          <w:sz w:val="23"/>
          <w:szCs w:val="23"/>
        </w:rPr>
        <w:t xml:space="preserve">du gouvernement au Canada et à l’étranger. </w:t>
      </w:r>
    </w:p>
    <w:p w:rsidR="0034549D" w:rsidRPr="00B137D3" w:rsidRDefault="0034549D" w:rsidP="0034549D">
      <w:pPr>
        <w:pStyle w:val="Default"/>
        <w:rPr>
          <w:sz w:val="23"/>
          <w:szCs w:val="23"/>
        </w:rPr>
      </w:pPr>
    </w:p>
    <w:p w:rsidR="0034549D" w:rsidRPr="00B137D3" w:rsidRDefault="006D012A" w:rsidP="0034549D">
      <w:pPr>
        <w:pStyle w:val="Default"/>
        <w:rPr>
          <w:sz w:val="23"/>
          <w:szCs w:val="23"/>
        </w:rPr>
      </w:pPr>
      <w:r w:rsidRPr="00B137D3">
        <w:rPr>
          <w:sz w:val="23"/>
          <w:szCs w:val="23"/>
        </w:rPr>
        <w:t>L’équipe d’</w:t>
      </w:r>
      <w:r w:rsidR="00FB2C69" w:rsidRPr="00B137D3">
        <w:rPr>
          <w:sz w:val="23"/>
          <w:szCs w:val="23"/>
        </w:rPr>
        <w:t>Horizons</w:t>
      </w:r>
      <w:r w:rsidRPr="00B137D3">
        <w:rPr>
          <w:sz w:val="23"/>
          <w:szCs w:val="23"/>
        </w:rPr>
        <w:t xml:space="preserve"> s’affaire à prévoir les enjeux stratégiques émergents sur une période de 10 à 15 ans dans les domaines </w:t>
      </w:r>
      <w:r w:rsidR="00E71AC0" w:rsidRPr="00B137D3">
        <w:rPr>
          <w:sz w:val="23"/>
          <w:szCs w:val="23"/>
        </w:rPr>
        <w:t xml:space="preserve">ayant trait à </w:t>
      </w:r>
      <w:r w:rsidRPr="00B137D3">
        <w:rPr>
          <w:sz w:val="23"/>
          <w:szCs w:val="23"/>
        </w:rPr>
        <w:t xml:space="preserve">la technologie, </w:t>
      </w:r>
      <w:r w:rsidR="00E71AC0" w:rsidRPr="00B137D3">
        <w:rPr>
          <w:sz w:val="23"/>
          <w:szCs w:val="23"/>
        </w:rPr>
        <w:t xml:space="preserve">à </w:t>
      </w:r>
      <w:r w:rsidRPr="00B137D3">
        <w:rPr>
          <w:sz w:val="23"/>
          <w:szCs w:val="23"/>
        </w:rPr>
        <w:t xml:space="preserve">la société, </w:t>
      </w:r>
      <w:r w:rsidR="00E71AC0" w:rsidRPr="00B137D3">
        <w:rPr>
          <w:sz w:val="23"/>
          <w:szCs w:val="23"/>
        </w:rPr>
        <w:t xml:space="preserve">à </w:t>
      </w:r>
      <w:r w:rsidRPr="00B137D3">
        <w:rPr>
          <w:sz w:val="23"/>
          <w:szCs w:val="23"/>
        </w:rPr>
        <w:t xml:space="preserve">l’économie, </w:t>
      </w:r>
      <w:r w:rsidR="00E71AC0" w:rsidRPr="00B137D3">
        <w:rPr>
          <w:sz w:val="23"/>
          <w:szCs w:val="23"/>
        </w:rPr>
        <w:t xml:space="preserve">à </w:t>
      </w:r>
      <w:r w:rsidRPr="00B137D3">
        <w:rPr>
          <w:sz w:val="23"/>
          <w:szCs w:val="23"/>
        </w:rPr>
        <w:t xml:space="preserve">l’environnement, </w:t>
      </w:r>
      <w:r w:rsidR="00E71AC0" w:rsidRPr="00B137D3">
        <w:rPr>
          <w:sz w:val="23"/>
          <w:szCs w:val="23"/>
        </w:rPr>
        <w:t xml:space="preserve">à </w:t>
      </w:r>
      <w:r w:rsidRPr="00B137D3">
        <w:rPr>
          <w:sz w:val="23"/>
          <w:szCs w:val="23"/>
        </w:rPr>
        <w:t xml:space="preserve">la gouvernance et </w:t>
      </w:r>
      <w:r w:rsidR="00E71AC0" w:rsidRPr="00B137D3">
        <w:rPr>
          <w:sz w:val="23"/>
          <w:szCs w:val="23"/>
        </w:rPr>
        <w:t xml:space="preserve">à </w:t>
      </w:r>
      <w:r w:rsidRPr="00B137D3">
        <w:rPr>
          <w:sz w:val="23"/>
          <w:szCs w:val="23"/>
        </w:rPr>
        <w:t xml:space="preserve">la sécurité, </w:t>
      </w:r>
      <w:r w:rsidR="008D55B6" w:rsidRPr="00B137D3">
        <w:rPr>
          <w:sz w:val="23"/>
          <w:szCs w:val="23"/>
        </w:rPr>
        <w:t xml:space="preserve">en plus d’explorer et d’expliquer </w:t>
      </w:r>
      <w:r w:rsidRPr="00B137D3">
        <w:rPr>
          <w:sz w:val="23"/>
          <w:szCs w:val="23"/>
        </w:rPr>
        <w:t>les répercussions possibles des changements</w:t>
      </w:r>
      <w:r w:rsidR="00E71AC0" w:rsidRPr="00B137D3">
        <w:rPr>
          <w:sz w:val="23"/>
          <w:szCs w:val="23"/>
        </w:rPr>
        <w:t xml:space="preserve"> </w:t>
      </w:r>
      <w:r w:rsidRPr="00B137D3">
        <w:rPr>
          <w:sz w:val="23"/>
          <w:szCs w:val="23"/>
        </w:rPr>
        <w:t>sur la politique publique au Canada</w:t>
      </w:r>
      <w:r w:rsidR="009D5E96" w:rsidRPr="00B137D3">
        <w:rPr>
          <w:sz w:val="23"/>
          <w:szCs w:val="23"/>
        </w:rPr>
        <w:t xml:space="preserve">. </w:t>
      </w:r>
    </w:p>
    <w:p w:rsidR="0034549D" w:rsidRPr="00B137D3" w:rsidRDefault="0034549D" w:rsidP="0034549D">
      <w:pPr>
        <w:pStyle w:val="Default"/>
        <w:rPr>
          <w:sz w:val="23"/>
          <w:szCs w:val="23"/>
        </w:rPr>
      </w:pPr>
    </w:p>
    <w:p w:rsidR="000D31DF" w:rsidRPr="00B137D3" w:rsidRDefault="008D55B6" w:rsidP="000D31DF">
      <w:pPr>
        <w:pStyle w:val="Default"/>
      </w:pPr>
      <w:r w:rsidRPr="00B137D3">
        <w:rPr>
          <w:sz w:val="23"/>
          <w:szCs w:val="23"/>
        </w:rPr>
        <w:t xml:space="preserve">Plus récemment, </w:t>
      </w:r>
      <w:r w:rsidR="004169B9" w:rsidRPr="00B137D3">
        <w:rPr>
          <w:sz w:val="23"/>
          <w:szCs w:val="23"/>
        </w:rPr>
        <w:t>Horizons a</w:t>
      </w:r>
      <w:r w:rsidRPr="00B137D3">
        <w:rPr>
          <w:sz w:val="23"/>
          <w:szCs w:val="23"/>
        </w:rPr>
        <w:t xml:space="preserve"> étendu </w:t>
      </w:r>
      <w:r w:rsidR="004169B9" w:rsidRPr="00B137D3">
        <w:rPr>
          <w:sz w:val="23"/>
          <w:szCs w:val="23"/>
        </w:rPr>
        <w:t>ses</w:t>
      </w:r>
      <w:r w:rsidRPr="00B137D3">
        <w:rPr>
          <w:sz w:val="23"/>
          <w:szCs w:val="23"/>
        </w:rPr>
        <w:t xml:space="preserve"> activités à l’étude des comportements, afin d’aider la fonction publique à adopter de meilleures stratégies de communication et de collaboration et à élaborer des politiques abordant des enjeux complexes. </w:t>
      </w:r>
    </w:p>
    <w:p w:rsidR="000D31DF" w:rsidRPr="00B137D3" w:rsidRDefault="000D31DF" w:rsidP="009D5E96">
      <w:pPr>
        <w:pStyle w:val="Default"/>
        <w:rPr>
          <w:sz w:val="23"/>
          <w:szCs w:val="23"/>
        </w:rPr>
      </w:pPr>
    </w:p>
    <w:p w:rsidR="009D5E96" w:rsidRPr="00B137D3" w:rsidRDefault="00E71AC0" w:rsidP="009D5E96">
      <w:pPr>
        <w:pStyle w:val="Default"/>
        <w:rPr>
          <w:b/>
          <w:sz w:val="23"/>
          <w:szCs w:val="23"/>
        </w:rPr>
      </w:pPr>
      <w:r w:rsidRPr="00B137D3">
        <w:rPr>
          <w:b/>
          <w:i/>
          <w:iCs/>
          <w:sz w:val="23"/>
          <w:szCs w:val="23"/>
        </w:rPr>
        <w:t>Notre contexte de</w:t>
      </w:r>
      <w:r w:rsidR="008D55B6" w:rsidRPr="00B137D3">
        <w:rPr>
          <w:b/>
          <w:i/>
          <w:iCs/>
          <w:sz w:val="23"/>
          <w:szCs w:val="23"/>
        </w:rPr>
        <w:t xml:space="preserve"> travail </w:t>
      </w:r>
    </w:p>
    <w:p w:rsidR="009D5E96" w:rsidRPr="00B137D3" w:rsidRDefault="008D55B6" w:rsidP="009D5E96">
      <w:pPr>
        <w:pStyle w:val="Default"/>
        <w:rPr>
          <w:sz w:val="23"/>
          <w:szCs w:val="23"/>
        </w:rPr>
      </w:pPr>
      <w:r w:rsidRPr="00B137D3">
        <w:rPr>
          <w:sz w:val="23"/>
          <w:szCs w:val="23"/>
        </w:rPr>
        <w:t>Horizons</w:t>
      </w:r>
      <w:r w:rsidR="00E71AC0" w:rsidRPr="00B137D3">
        <w:rPr>
          <w:sz w:val="23"/>
          <w:szCs w:val="23"/>
        </w:rPr>
        <w:t xml:space="preserve"> est</w:t>
      </w:r>
      <w:r w:rsidRPr="00B137D3">
        <w:rPr>
          <w:sz w:val="23"/>
          <w:szCs w:val="23"/>
        </w:rPr>
        <w:t xml:space="preserve"> une petite organisation souple </w:t>
      </w:r>
      <w:r w:rsidR="00F878F9" w:rsidRPr="00B137D3">
        <w:rPr>
          <w:sz w:val="23"/>
          <w:szCs w:val="23"/>
        </w:rPr>
        <w:t xml:space="preserve">qui compte </w:t>
      </w:r>
      <w:r w:rsidRPr="00B137D3">
        <w:rPr>
          <w:sz w:val="23"/>
          <w:szCs w:val="23"/>
        </w:rPr>
        <w:t>moins de 30 employés</w:t>
      </w:r>
      <w:r w:rsidR="00F878F9" w:rsidRPr="00B137D3">
        <w:rPr>
          <w:sz w:val="23"/>
          <w:szCs w:val="23"/>
        </w:rPr>
        <w:t xml:space="preserve">. Elle regroupe </w:t>
      </w:r>
      <w:r w:rsidRPr="00B137D3">
        <w:rPr>
          <w:sz w:val="23"/>
          <w:szCs w:val="23"/>
        </w:rPr>
        <w:t xml:space="preserve">des analystes de politiques et </w:t>
      </w:r>
      <w:r w:rsidR="00F62CB3" w:rsidRPr="00B137D3">
        <w:rPr>
          <w:sz w:val="23"/>
          <w:szCs w:val="23"/>
        </w:rPr>
        <w:t>des analystes en</w:t>
      </w:r>
      <w:r w:rsidR="00E71AC0" w:rsidRPr="00B137D3">
        <w:rPr>
          <w:sz w:val="23"/>
          <w:szCs w:val="23"/>
        </w:rPr>
        <w:t xml:space="preserve"> prospective</w:t>
      </w:r>
      <w:r w:rsidRPr="00B137D3">
        <w:rPr>
          <w:sz w:val="23"/>
          <w:szCs w:val="23"/>
        </w:rPr>
        <w:t xml:space="preserve">, des spécialistes </w:t>
      </w:r>
      <w:r w:rsidR="00F62CB3" w:rsidRPr="00B137D3">
        <w:rPr>
          <w:sz w:val="23"/>
          <w:szCs w:val="23"/>
        </w:rPr>
        <w:t>de la</w:t>
      </w:r>
      <w:r w:rsidRPr="00B137D3">
        <w:rPr>
          <w:sz w:val="23"/>
          <w:szCs w:val="23"/>
        </w:rPr>
        <w:t xml:space="preserve"> communication et</w:t>
      </w:r>
      <w:r w:rsidR="00F62CB3" w:rsidRPr="00B137D3">
        <w:rPr>
          <w:sz w:val="23"/>
          <w:szCs w:val="23"/>
        </w:rPr>
        <w:t xml:space="preserve"> de la</w:t>
      </w:r>
      <w:r w:rsidRPr="00B137D3">
        <w:rPr>
          <w:sz w:val="23"/>
          <w:szCs w:val="23"/>
        </w:rPr>
        <w:t xml:space="preserve"> </w:t>
      </w:r>
      <w:r w:rsidR="00F878F9" w:rsidRPr="00B137D3">
        <w:rPr>
          <w:sz w:val="23"/>
          <w:szCs w:val="23"/>
        </w:rPr>
        <w:t>diffusion</w:t>
      </w:r>
      <w:r w:rsidRPr="00B137D3">
        <w:rPr>
          <w:sz w:val="23"/>
          <w:szCs w:val="23"/>
        </w:rPr>
        <w:t xml:space="preserve">, de la TI et du Web 2.0, </w:t>
      </w:r>
      <w:r w:rsidR="00F878F9" w:rsidRPr="00B137D3">
        <w:rPr>
          <w:sz w:val="23"/>
          <w:szCs w:val="23"/>
        </w:rPr>
        <w:t xml:space="preserve">ainsi que </w:t>
      </w:r>
      <w:r w:rsidRPr="00B137D3">
        <w:rPr>
          <w:sz w:val="23"/>
          <w:szCs w:val="23"/>
        </w:rPr>
        <w:t xml:space="preserve">des employés administratifs </w:t>
      </w:r>
      <w:r w:rsidR="00F878F9" w:rsidRPr="00B137D3">
        <w:rPr>
          <w:sz w:val="23"/>
          <w:szCs w:val="23"/>
        </w:rPr>
        <w:t>et</w:t>
      </w:r>
      <w:r w:rsidRPr="00B137D3">
        <w:rPr>
          <w:sz w:val="23"/>
          <w:szCs w:val="23"/>
        </w:rPr>
        <w:t xml:space="preserve"> des gestionnaires. Sa culture de travail stable et souple s’appuie sur l’innovation continue</w:t>
      </w:r>
      <w:r w:rsidR="00732BA4" w:rsidRPr="00B137D3">
        <w:rPr>
          <w:sz w:val="23"/>
          <w:szCs w:val="23"/>
        </w:rPr>
        <w:t> </w:t>
      </w:r>
      <w:r w:rsidRPr="00B137D3">
        <w:rPr>
          <w:sz w:val="23"/>
          <w:szCs w:val="23"/>
        </w:rPr>
        <w:t>– qu’il s’agisse d’approches analytiques, de techniques de consultation, de soutien technologique ou de structures</w:t>
      </w:r>
      <w:r w:rsidR="00732BA4" w:rsidRPr="00B137D3">
        <w:rPr>
          <w:sz w:val="23"/>
          <w:szCs w:val="23"/>
        </w:rPr>
        <w:t> </w:t>
      </w:r>
      <w:r w:rsidRPr="00B137D3">
        <w:rPr>
          <w:sz w:val="23"/>
          <w:szCs w:val="23"/>
        </w:rPr>
        <w:t>– pour fournir aux sous</w:t>
      </w:r>
      <w:r w:rsidR="00B2173E" w:rsidRPr="00B137D3">
        <w:rPr>
          <w:sz w:val="23"/>
          <w:szCs w:val="23"/>
        </w:rPr>
        <w:noBreakHyphen/>
      </w:r>
      <w:r w:rsidRPr="00B137D3">
        <w:rPr>
          <w:sz w:val="23"/>
          <w:szCs w:val="23"/>
        </w:rPr>
        <w:t>ministres des produits et des renseignements de haute qualité</w:t>
      </w:r>
      <w:r w:rsidR="009D5E96" w:rsidRPr="00B137D3">
        <w:rPr>
          <w:sz w:val="23"/>
          <w:szCs w:val="23"/>
        </w:rPr>
        <w:t xml:space="preserve">. </w:t>
      </w:r>
      <w:r w:rsidRPr="00B137D3">
        <w:rPr>
          <w:sz w:val="23"/>
          <w:szCs w:val="23"/>
        </w:rPr>
        <w:t>Dans le cadre d’une structure de gestion matricielle, les travaux sont coordonnés par des équipes multidisciplinaires temporaires</w:t>
      </w:r>
      <w:r w:rsidR="009D5E96" w:rsidRPr="00B137D3">
        <w:rPr>
          <w:sz w:val="23"/>
          <w:szCs w:val="23"/>
        </w:rPr>
        <w:t xml:space="preserve">. </w:t>
      </w:r>
      <w:r w:rsidR="00CD3CD6" w:rsidRPr="00B137D3">
        <w:rPr>
          <w:sz w:val="23"/>
          <w:szCs w:val="23"/>
        </w:rPr>
        <w:t xml:space="preserve">Dans un environnement qui se veut un laboratoire d’innovation, </w:t>
      </w:r>
      <w:r w:rsidR="009D5E96" w:rsidRPr="00B137D3">
        <w:rPr>
          <w:sz w:val="23"/>
          <w:szCs w:val="23"/>
        </w:rPr>
        <w:t xml:space="preserve">Horizons </w:t>
      </w:r>
      <w:r w:rsidR="00CD3CD6" w:rsidRPr="00B137D3">
        <w:rPr>
          <w:sz w:val="23"/>
          <w:szCs w:val="23"/>
        </w:rPr>
        <w:t>exploite et met à l’essai</w:t>
      </w:r>
      <w:r w:rsidR="00F011F0" w:rsidRPr="00B137D3">
        <w:rPr>
          <w:sz w:val="23"/>
          <w:szCs w:val="23"/>
        </w:rPr>
        <w:t xml:space="preserve"> </w:t>
      </w:r>
      <w:r w:rsidR="00CD3CD6" w:rsidRPr="00B137D3">
        <w:rPr>
          <w:sz w:val="23"/>
          <w:szCs w:val="23"/>
        </w:rPr>
        <w:t>des logiciels ainsi que des outils et techniques d’apprentissage en constante évolution.</w:t>
      </w:r>
      <w:r w:rsidR="009D5E96" w:rsidRPr="00B137D3">
        <w:rPr>
          <w:sz w:val="23"/>
          <w:szCs w:val="23"/>
        </w:rPr>
        <w:t xml:space="preserve"> </w:t>
      </w:r>
    </w:p>
    <w:p w:rsidR="00DE3EAD" w:rsidRPr="00B137D3" w:rsidRDefault="00DE3EAD" w:rsidP="009D5E96">
      <w:pPr>
        <w:pStyle w:val="Default"/>
        <w:rPr>
          <w:sz w:val="23"/>
          <w:szCs w:val="23"/>
        </w:rPr>
      </w:pPr>
    </w:p>
    <w:p w:rsidR="005F0BDD" w:rsidRPr="00B137D3" w:rsidRDefault="00477B69" w:rsidP="005F0BDD">
      <w:pPr>
        <w:rPr>
          <w:rFonts w:ascii="Arial" w:hAnsi="Arial" w:cs="Arial"/>
          <w:i/>
          <w:sz w:val="20"/>
          <w:szCs w:val="20"/>
        </w:rPr>
      </w:pPr>
      <w:r w:rsidRPr="00B137D3">
        <w:rPr>
          <w:rFonts w:ascii="Arial" w:hAnsi="Arial" w:cs="Arial"/>
          <w:b/>
          <w:bCs/>
          <w:i/>
        </w:rPr>
        <w:t>Résultats axés sur le service à la clientèle</w:t>
      </w:r>
      <w:r w:rsidR="005F0BDD" w:rsidRPr="00B137D3">
        <w:rPr>
          <w:rFonts w:ascii="Arial" w:hAnsi="Arial" w:cs="Arial"/>
          <w:b/>
          <w:bCs/>
          <w:i/>
        </w:rPr>
        <w:t xml:space="preserve"> </w:t>
      </w:r>
    </w:p>
    <w:p w:rsidR="00FB2C69" w:rsidRPr="00B137D3" w:rsidRDefault="00FB2C69" w:rsidP="005F0BDD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Horizons </w:t>
      </w:r>
      <w:r w:rsidR="00477B69" w:rsidRPr="00B137D3">
        <w:rPr>
          <w:rFonts w:ascii="Arial" w:eastAsiaTheme="minorHAnsi" w:hAnsi="Arial" w:cs="Arial"/>
          <w:color w:val="000000"/>
          <w:sz w:val="23"/>
          <w:szCs w:val="23"/>
        </w:rPr>
        <w:t>mène des recherches analytiques en vue de générer des données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et</w:t>
      </w:r>
      <w:r w:rsidR="00477B69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des connaissances 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à l’appui d’</w:t>
      </w:r>
      <w:r w:rsidR="00477B69" w:rsidRPr="00B137D3">
        <w:rPr>
          <w:rFonts w:ascii="Arial" w:eastAsiaTheme="minorHAnsi" w:hAnsi="Arial" w:cs="Arial"/>
          <w:color w:val="000000"/>
          <w:sz w:val="23"/>
          <w:szCs w:val="23"/>
        </w:rPr>
        <w:t>étude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s et</w:t>
      </w:r>
      <w:r w:rsidR="00477B69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de</w:t>
      </w:r>
      <w:r w:rsidR="00477B69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projet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s</w:t>
      </w:r>
      <w:r w:rsidR="00477B69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. </w:t>
      </w:r>
    </w:p>
    <w:p w:rsidR="00FB2C69" w:rsidRPr="00B137D3" w:rsidRDefault="00FB2C69" w:rsidP="00FB2C69">
      <w:pPr>
        <w:rPr>
          <w:rFonts w:ascii="Myriad Pro Light" w:hAnsi="Myriad Pro Light" w:cs="Myriad Pro Light"/>
          <w:sz w:val="23"/>
          <w:szCs w:val="23"/>
          <w:lang w:eastAsia="en-US"/>
        </w:rPr>
      </w:pPr>
    </w:p>
    <w:p w:rsidR="00FB2C69" w:rsidRPr="00B137D3" w:rsidRDefault="00477B69" w:rsidP="00FB2C69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Myriad Pro Light" w:hAnsi="Myriad Pro Light" w:cs="Myriad Pro Light"/>
          <w:sz w:val="23"/>
          <w:szCs w:val="23"/>
          <w:lang w:eastAsia="en-US"/>
        </w:rPr>
        <w:t xml:space="preserve">Nous travaillons de très près avec les fonctionnaires et des experts internationaux pour alimenter la stratégie comportementale, </w:t>
      </w:r>
      <w:r w:rsidR="00AD4AE9" w:rsidRPr="00B137D3">
        <w:rPr>
          <w:rFonts w:ascii="Myriad Pro Light" w:hAnsi="Myriad Pro Light" w:cs="Myriad Pro Light"/>
          <w:sz w:val="23"/>
          <w:szCs w:val="23"/>
          <w:lang w:eastAsia="en-US"/>
        </w:rPr>
        <w:t xml:space="preserve">renforcer la capacité de réflexion à long terme et soutenir des discussions et des </w:t>
      </w:r>
      <w:r w:rsidR="00CD3CD6" w:rsidRPr="00B137D3">
        <w:rPr>
          <w:rFonts w:ascii="Myriad Pro Light" w:hAnsi="Myriad Pro Light" w:cs="Myriad Pro Light"/>
          <w:sz w:val="23"/>
          <w:szCs w:val="23"/>
          <w:lang w:eastAsia="en-US"/>
        </w:rPr>
        <w:t>liens</w:t>
      </w:r>
      <w:r w:rsidR="00AD4AE9" w:rsidRPr="00B137D3">
        <w:rPr>
          <w:rFonts w:ascii="Myriad Pro Light" w:hAnsi="Myriad Pro Light" w:cs="Myriad Pro Light"/>
          <w:sz w:val="23"/>
          <w:szCs w:val="23"/>
          <w:lang w:eastAsia="en-US"/>
        </w:rPr>
        <w:t xml:space="preserve"> stratégiques qui n’existeraient pas autrement.</w:t>
      </w:r>
    </w:p>
    <w:p w:rsidR="005F0BDD" w:rsidRPr="00B137D3" w:rsidRDefault="005F0BDD" w:rsidP="005F0BDD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:rsidR="005F0BDD" w:rsidRPr="00B137D3" w:rsidRDefault="00AC672F" w:rsidP="005F0BDD">
      <w:pPr>
        <w:rPr>
          <w:rFonts w:ascii="Arial" w:hAnsi="Arial" w:cs="Arial"/>
          <w:b/>
          <w:i/>
        </w:rPr>
      </w:pPr>
      <w:r w:rsidRPr="00B137D3">
        <w:rPr>
          <w:rFonts w:ascii="Arial" w:hAnsi="Arial" w:cs="Arial"/>
          <w:b/>
          <w:bCs/>
          <w:i/>
        </w:rPr>
        <w:t>Principales activités</w:t>
      </w:r>
      <w:r w:rsidR="005F0BDD" w:rsidRPr="00B137D3">
        <w:rPr>
          <w:rFonts w:ascii="Arial" w:hAnsi="Arial" w:cs="Arial"/>
          <w:b/>
          <w:bCs/>
          <w:i/>
        </w:rPr>
        <w:t xml:space="preserve"> </w:t>
      </w:r>
    </w:p>
    <w:p w:rsidR="00ED12E8" w:rsidRPr="00B137D3" w:rsidRDefault="00AC672F" w:rsidP="005E0D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S’informer au sujet des priorités, des politiques et des programmes du gouvernement. </w:t>
      </w:r>
    </w:p>
    <w:p w:rsidR="00ED12E8" w:rsidRPr="00B137D3" w:rsidRDefault="00AC672F" w:rsidP="005E0D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>Transposer de façon créative les données tirées de la littérature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en sciences sociales et comportementales, et élaborer des stratégies à partir de bases de données et de méthodes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>afin d’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alimenter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et d’améliorer 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l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es programmes, 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l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es politiques et 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l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es organisations </w:t>
      </w:r>
      <w:r w:rsidR="00CD3CD6" w:rsidRPr="00B137D3">
        <w:rPr>
          <w:rFonts w:ascii="Arial" w:eastAsiaTheme="minorHAnsi" w:hAnsi="Arial" w:cs="Arial"/>
          <w:color w:val="000000"/>
          <w:sz w:val="23"/>
          <w:szCs w:val="23"/>
        </w:rPr>
        <w:t>et de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mieux servir la population canadienne. </w:t>
      </w:r>
    </w:p>
    <w:p w:rsidR="005F0BDD" w:rsidRPr="00B137D3" w:rsidRDefault="00AC672F" w:rsidP="005F0B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Sous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une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étroite supervision, participer à des projets, des initiatives et des comités co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njoints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, et communiquer avec les ministères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et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des collaborateurs externes. </w:t>
      </w:r>
    </w:p>
    <w:p w:rsidR="00ED12E8" w:rsidRPr="00B137D3" w:rsidRDefault="00AC672F" w:rsidP="005F0B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lastRenderedPageBreak/>
        <w:t xml:space="preserve">Analyser des données et interpréter les résultats. </w:t>
      </w:r>
    </w:p>
    <w:p w:rsidR="00ED12E8" w:rsidRPr="00B137D3" w:rsidRDefault="00AC672F" w:rsidP="005F0BD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Rédiger ou commenter des rapports de projet, des notes de service ou des exposés. </w:t>
      </w:r>
    </w:p>
    <w:p w:rsidR="00ED12E8" w:rsidRPr="00B137D3" w:rsidRDefault="00B12BF4" w:rsidP="00ED12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Soutenir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le travail d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es analystes et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d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e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s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gestionnaire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s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à l’égard des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divers dossiers, documents de recherche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et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projets d’Horizons</w:t>
      </w:r>
      <w:r w:rsidR="00ED12E8" w:rsidRPr="00B137D3">
        <w:rPr>
          <w:rFonts w:ascii="Arial" w:eastAsiaTheme="minorHAnsi" w:hAnsi="Arial" w:cs="Arial"/>
          <w:color w:val="000000"/>
          <w:sz w:val="23"/>
          <w:szCs w:val="23"/>
        </w:rPr>
        <w:t>.</w:t>
      </w:r>
    </w:p>
    <w:p w:rsidR="00ED12E8" w:rsidRPr="00B137D3" w:rsidRDefault="00B12BF4" w:rsidP="00ED12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Assister à des réunions régulières et rendre compte de </w:t>
      </w:r>
      <w:r w:rsidR="00732BA4" w:rsidRPr="00B137D3">
        <w:rPr>
          <w:rFonts w:ascii="Arial" w:eastAsiaTheme="minorHAnsi" w:hAnsi="Arial" w:cs="Arial"/>
          <w:color w:val="000000"/>
          <w:sz w:val="23"/>
          <w:szCs w:val="23"/>
        </w:rPr>
        <w:t>ses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activités, au besoin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, ce qui peut inclure la participation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à des conférences et à des ateliers et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la présentation d’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exposés. </w:t>
      </w:r>
    </w:p>
    <w:p w:rsidR="00DE3EAD" w:rsidRPr="00B137D3" w:rsidRDefault="00B12BF4" w:rsidP="00ED12E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color w:val="000000"/>
          <w:sz w:val="23"/>
          <w:szCs w:val="23"/>
        </w:rPr>
        <w:t>Être disponible de façon générale pour collaborer et contribuer aux tâches internes</w:t>
      </w:r>
      <w:r w:rsidR="00ED12E8" w:rsidRPr="00B137D3">
        <w:rPr>
          <w:rFonts w:ascii="Arial" w:eastAsiaTheme="minorHAnsi" w:hAnsi="Arial" w:cs="Arial"/>
          <w:color w:val="000000"/>
          <w:sz w:val="23"/>
          <w:szCs w:val="23"/>
        </w:rPr>
        <w:t>.</w:t>
      </w:r>
    </w:p>
    <w:p w:rsidR="006B7DA1" w:rsidRPr="00B137D3" w:rsidRDefault="006B7DA1" w:rsidP="00E76EFB">
      <w:pPr>
        <w:rPr>
          <w:rFonts w:ascii="Arial" w:hAnsi="Arial" w:cs="Arial"/>
          <w:sz w:val="20"/>
          <w:szCs w:val="20"/>
        </w:rPr>
      </w:pPr>
    </w:p>
    <w:p w:rsidR="00D015DA" w:rsidRPr="00B137D3" w:rsidRDefault="006B7DA1" w:rsidP="00E76EF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>Dur</w:t>
      </w:r>
      <w:r w:rsidR="00B12BF4" w:rsidRPr="00B137D3">
        <w:rPr>
          <w:rFonts w:ascii="Arial" w:hAnsi="Arial" w:cs="Arial"/>
          <w:b/>
        </w:rPr>
        <w:t xml:space="preserve">ée : </w:t>
      </w:r>
      <w:r w:rsidR="00B12BF4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Environ 4 mois dans le cadre d’une affectation d’un programme coop, d’un stage ou d’un emploi d’été. </w:t>
      </w:r>
    </w:p>
    <w:p w:rsidR="000D31DF" w:rsidRPr="00B137D3" w:rsidRDefault="000D31DF" w:rsidP="00E76EFB">
      <w:pPr>
        <w:rPr>
          <w:rFonts w:ascii="Arial" w:hAnsi="Arial" w:cs="Arial"/>
          <w:sz w:val="20"/>
          <w:szCs w:val="20"/>
        </w:rPr>
      </w:pPr>
    </w:p>
    <w:p w:rsidR="00D015DA" w:rsidRPr="00B137D3" w:rsidRDefault="00B12BF4" w:rsidP="00E76EFB">
      <w:pPr>
        <w:rPr>
          <w:rFonts w:ascii="Arial" w:hAnsi="Arial" w:cs="Arial"/>
          <w:sz w:val="22"/>
          <w:szCs w:val="22"/>
        </w:rPr>
      </w:pPr>
      <w:r w:rsidRPr="00B137D3">
        <w:rPr>
          <w:rFonts w:ascii="Arial" w:hAnsi="Arial" w:cs="Arial"/>
          <w:b/>
        </w:rPr>
        <w:t xml:space="preserve">Lieu de travail :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Centre-ville d’</w:t>
      </w:r>
      <w:r w:rsidR="00D015DA" w:rsidRPr="00B137D3">
        <w:rPr>
          <w:rFonts w:ascii="Arial" w:eastAsiaTheme="minorHAnsi" w:hAnsi="Arial" w:cs="Arial"/>
          <w:color w:val="000000"/>
          <w:sz w:val="23"/>
          <w:szCs w:val="23"/>
        </w:rPr>
        <w:t>Ottawa</w:t>
      </w:r>
    </w:p>
    <w:p w:rsidR="00D015DA" w:rsidRPr="00B137D3" w:rsidRDefault="00D015DA" w:rsidP="00E76EFB">
      <w:pPr>
        <w:rPr>
          <w:rFonts w:ascii="Arial" w:hAnsi="Arial" w:cs="Arial"/>
          <w:sz w:val="20"/>
          <w:szCs w:val="20"/>
        </w:rPr>
      </w:pPr>
    </w:p>
    <w:p w:rsidR="00D015DA" w:rsidRPr="00B137D3" w:rsidRDefault="00B12BF4" w:rsidP="00E76EFB">
      <w:pPr>
        <w:rPr>
          <w:rFonts w:ascii="Arial" w:hAnsi="Arial" w:cs="Arial"/>
          <w:sz w:val="22"/>
          <w:szCs w:val="22"/>
        </w:rPr>
      </w:pPr>
      <w:r w:rsidRPr="00B137D3">
        <w:rPr>
          <w:rFonts w:ascii="Arial" w:hAnsi="Arial" w:cs="Arial"/>
          <w:b/>
        </w:rPr>
        <w:t xml:space="preserve">Cote de sécurité : </w:t>
      </w:r>
      <w:r w:rsidRPr="00B137D3">
        <w:rPr>
          <w:rFonts w:ascii="Arial" w:hAnsi="Arial" w:cs="Arial"/>
          <w:sz w:val="22"/>
          <w:szCs w:val="22"/>
        </w:rPr>
        <w:t xml:space="preserve">Fiabilité </w:t>
      </w:r>
    </w:p>
    <w:p w:rsidR="006B7DA1" w:rsidRPr="00B137D3" w:rsidRDefault="006B7DA1" w:rsidP="00E76EFB">
      <w:pPr>
        <w:rPr>
          <w:rFonts w:ascii="Arial" w:hAnsi="Arial" w:cs="Arial"/>
          <w:b/>
        </w:rPr>
      </w:pPr>
    </w:p>
    <w:p w:rsidR="006B7DA1" w:rsidRPr="00B137D3" w:rsidRDefault="00B12BF4" w:rsidP="00E76EF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>Horaire :</w:t>
      </w:r>
      <w:r w:rsidR="006B7DA1" w:rsidRPr="00B137D3">
        <w:rPr>
          <w:rFonts w:ascii="Arial" w:hAnsi="Arial" w:cs="Arial"/>
          <w:sz w:val="20"/>
          <w:szCs w:val="20"/>
        </w:rPr>
        <w:t xml:space="preserve"> </w:t>
      </w:r>
      <w:r w:rsidRPr="00B137D3">
        <w:rPr>
          <w:rFonts w:ascii="Arial" w:hAnsi="Arial" w:cs="Arial"/>
          <w:sz w:val="20"/>
          <w:szCs w:val="20"/>
        </w:rPr>
        <w:t>T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emps plein </w:t>
      </w:r>
      <w:r w:rsidR="00D57A3E" w:rsidRPr="00B137D3">
        <w:rPr>
          <w:rFonts w:ascii="Arial" w:eastAsiaTheme="minorHAnsi" w:hAnsi="Arial" w:cs="Arial"/>
          <w:color w:val="000000"/>
          <w:sz w:val="23"/>
          <w:szCs w:val="23"/>
        </w:rPr>
        <w:t>(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37,</w:t>
      </w:r>
      <w:r w:rsidR="00E62FF4" w:rsidRPr="00B137D3">
        <w:rPr>
          <w:rFonts w:ascii="Arial" w:eastAsiaTheme="minorHAnsi" w:hAnsi="Arial" w:cs="Arial"/>
          <w:color w:val="000000"/>
          <w:sz w:val="23"/>
          <w:szCs w:val="23"/>
        </w:rPr>
        <w:t>5</w:t>
      </w:r>
      <w:r w:rsidR="00D57A3E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heures par semaine</w:t>
      </w:r>
      <w:r w:rsidR="00D57A3E" w:rsidRPr="00B137D3">
        <w:rPr>
          <w:rFonts w:ascii="Arial" w:eastAsiaTheme="minorHAnsi" w:hAnsi="Arial" w:cs="Arial"/>
          <w:color w:val="000000"/>
          <w:sz w:val="23"/>
          <w:szCs w:val="23"/>
        </w:rPr>
        <w:t>) o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u temps partiel </w:t>
      </w:r>
      <w:r w:rsidR="006B7DA1" w:rsidRPr="00B137D3">
        <w:rPr>
          <w:rFonts w:ascii="Arial" w:eastAsiaTheme="minorHAnsi" w:hAnsi="Arial" w:cs="Arial"/>
          <w:color w:val="000000"/>
          <w:sz w:val="23"/>
          <w:szCs w:val="23"/>
        </w:rPr>
        <w:t>(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de </w:t>
      </w:r>
      <w:r w:rsidR="006B7DA1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15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à </w:t>
      </w:r>
      <w:r w:rsidR="006B7DA1" w:rsidRPr="00B137D3">
        <w:rPr>
          <w:rFonts w:ascii="Arial" w:eastAsiaTheme="minorHAnsi" w:hAnsi="Arial" w:cs="Arial"/>
          <w:color w:val="000000"/>
          <w:sz w:val="23"/>
          <w:szCs w:val="23"/>
        </w:rPr>
        <w:t>20 h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eures par semaine</w:t>
      </w:r>
      <w:r w:rsidR="006B7DA1" w:rsidRPr="00B137D3">
        <w:rPr>
          <w:rFonts w:ascii="Arial" w:eastAsiaTheme="minorHAnsi" w:hAnsi="Arial" w:cs="Arial"/>
          <w:color w:val="000000"/>
          <w:sz w:val="23"/>
          <w:szCs w:val="23"/>
        </w:rPr>
        <w:t>)</w:t>
      </w:r>
    </w:p>
    <w:p w:rsidR="00FB2C69" w:rsidRPr="00B137D3" w:rsidRDefault="00FB2C69" w:rsidP="00E76EFB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FB2C69" w:rsidRPr="00B137D3" w:rsidRDefault="00FB2C69" w:rsidP="00E76EF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eastAsiaTheme="minorHAnsi" w:hAnsi="Arial" w:cs="Arial"/>
          <w:b/>
          <w:color w:val="000000"/>
        </w:rPr>
        <w:t>Sala</w:t>
      </w:r>
      <w:r w:rsidR="00B12BF4" w:rsidRPr="00B137D3">
        <w:rPr>
          <w:rFonts w:ascii="Arial" w:eastAsiaTheme="minorHAnsi" w:hAnsi="Arial" w:cs="Arial"/>
          <w:b/>
          <w:color w:val="000000"/>
        </w:rPr>
        <w:t>ire :</w:t>
      </w:r>
      <w:r w:rsidR="00B12BF4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Selon le programme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d’embauche </w:t>
      </w:r>
      <w:r w:rsidR="00B12BF4" w:rsidRPr="00B137D3">
        <w:rPr>
          <w:rFonts w:ascii="Arial" w:eastAsiaTheme="minorHAnsi" w:hAnsi="Arial" w:cs="Arial"/>
          <w:color w:val="000000"/>
          <w:sz w:val="23"/>
          <w:szCs w:val="23"/>
        </w:rPr>
        <w:t>de la Commission de la fonction publique et l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a</w:t>
      </w:r>
      <w:r w:rsidR="00B12BF4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scolarité de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l’étudiant</w:t>
      </w:r>
      <w:r w:rsidR="00B12BF4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5D5881" w:rsidRPr="00B137D3">
        <w:rPr>
          <w:rFonts w:ascii="Arial" w:eastAsiaTheme="minorHAnsi" w:hAnsi="Arial" w:cs="Arial"/>
          <w:color w:val="000000"/>
          <w:sz w:val="23"/>
          <w:szCs w:val="23"/>
        </w:rPr>
        <w:t>(</w:t>
      </w:r>
      <w:r w:rsidR="00B12BF4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assujetti aux </w:t>
      </w:r>
      <w:hyperlink r:id="rId9" w:history="1">
        <w:r w:rsidR="00B12BF4" w:rsidRPr="00B137D3">
          <w:rPr>
            <w:rStyle w:val="Hyperlink"/>
            <w:rFonts w:ascii="Arial" w:eastAsiaTheme="minorHAnsi" w:hAnsi="Arial" w:cs="Arial"/>
            <w:sz w:val="23"/>
            <w:szCs w:val="23"/>
          </w:rPr>
          <w:t>taux de rémunération</w:t>
        </w:r>
      </w:hyperlink>
      <w:r w:rsidR="004525C5" w:rsidRPr="00B137D3">
        <w:rPr>
          <w:rStyle w:val="Hyperlink"/>
          <w:rFonts w:ascii="Arial" w:eastAsiaTheme="minorHAnsi" w:hAnsi="Arial" w:cs="Arial"/>
          <w:sz w:val="23"/>
          <w:szCs w:val="23"/>
          <w:u w:val="none"/>
        </w:rPr>
        <w:t>,</w:t>
      </w:r>
      <w:r w:rsidR="004525C5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qui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se situent </w:t>
      </w:r>
      <w:r w:rsidR="004525C5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de 12,77 $ à 24,59 $ l’heure). </w:t>
      </w:r>
    </w:p>
    <w:p w:rsidR="006B7DA1" w:rsidRPr="00B137D3" w:rsidRDefault="006B7DA1" w:rsidP="006B7DA1">
      <w:pPr>
        <w:rPr>
          <w:rFonts w:ascii="Arial" w:hAnsi="Arial" w:cs="Arial"/>
          <w:sz w:val="22"/>
          <w:szCs w:val="22"/>
        </w:rPr>
      </w:pPr>
    </w:p>
    <w:p w:rsidR="006B7DA1" w:rsidRPr="00B137D3" w:rsidRDefault="004525C5" w:rsidP="006B7DA1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 xml:space="preserve">Exigences linguistiques :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Bilinguisme </w:t>
      </w:r>
      <w:r w:rsidR="006B7DA1" w:rsidRPr="00B137D3">
        <w:rPr>
          <w:rFonts w:ascii="Arial" w:eastAsiaTheme="minorHAnsi" w:hAnsi="Arial" w:cs="Arial"/>
          <w:color w:val="000000"/>
          <w:sz w:val="23"/>
          <w:szCs w:val="23"/>
        </w:rPr>
        <w:t>(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français et anglais</w:t>
      </w:r>
      <w:r w:rsidR="005E0DE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)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un atout, mais non essentiel. </w:t>
      </w:r>
    </w:p>
    <w:p w:rsidR="006B7DA1" w:rsidRPr="00B137D3" w:rsidRDefault="006B7DA1" w:rsidP="006B7DA1">
      <w:pPr>
        <w:rPr>
          <w:rFonts w:ascii="Arial" w:hAnsi="Arial" w:cs="Arial"/>
          <w:b/>
          <w:sz w:val="22"/>
          <w:szCs w:val="22"/>
        </w:rPr>
      </w:pPr>
    </w:p>
    <w:p w:rsidR="000D31DF" w:rsidRPr="00B137D3" w:rsidRDefault="004525C5" w:rsidP="000D31DF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 xml:space="preserve">Études : </w:t>
      </w:r>
      <w:r w:rsidR="00C34858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Aux études à temps plein dans un établissement post-secondaire, dans un programme de premier, deuxième ou troisième cycle universitaire en sciences sociales ou comportementales ou dans un domaine connexe (p. ex. politiques publiques, affaires, psychologie ou marketing). </w:t>
      </w:r>
    </w:p>
    <w:p w:rsidR="006B7DA1" w:rsidRPr="00B137D3" w:rsidRDefault="006B7DA1" w:rsidP="006B7DA1">
      <w:pPr>
        <w:rPr>
          <w:rFonts w:ascii="Arial" w:hAnsi="Arial" w:cs="Arial"/>
          <w:sz w:val="22"/>
          <w:szCs w:val="22"/>
        </w:rPr>
      </w:pPr>
    </w:p>
    <w:p w:rsidR="006B7DA1" w:rsidRPr="00B137D3" w:rsidRDefault="00C34858" w:rsidP="006B7DA1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>Connaissances :</w:t>
      </w:r>
      <w:r w:rsidR="006B7DA1" w:rsidRPr="00B137D3">
        <w:rPr>
          <w:rFonts w:ascii="Arial" w:hAnsi="Arial" w:cs="Arial"/>
          <w:b/>
          <w:sz w:val="22"/>
          <w:szCs w:val="22"/>
        </w:rPr>
        <w:t xml:space="preserve"> </w:t>
      </w:r>
      <w:r w:rsidRPr="00B137D3">
        <w:rPr>
          <w:rFonts w:ascii="Arial" w:eastAsiaTheme="minorHAnsi" w:hAnsi="Arial" w:cs="Arial"/>
          <w:color w:val="000000"/>
          <w:sz w:val="23"/>
          <w:szCs w:val="23"/>
        </w:rPr>
        <w:t>Connaissance approfondie d</w:t>
      </w:r>
      <w:r w:rsidR="004B11CD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e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l</w:t>
      </w:r>
      <w:r w:rsidR="00F62CB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’étude </w:t>
      </w:r>
      <w:r w:rsidR="00B137D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des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>comportement</w:t>
      </w:r>
      <w:r w:rsidR="00B137D3" w:rsidRPr="00B137D3">
        <w:rPr>
          <w:rFonts w:ascii="Arial" w:eastAsiaTheme="minorHAnsi" w:hAnsi="Arial" w:cs="Arial"/>
          <w:color w:val="000000"/>
          <w:sz w:val="23"/>
          <w:szCs w:val="23"/>
        </w:rPr>
        <w:t>s</w:t>
      </w:r>
      <w:r w:rsidR="004B11CD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ou de l’économie comportementale.</w:t>
      </w:r>
      <w:r w:rsidR="005D5881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4B11CD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Connaissance de </w:t>
      </w:r>
      <w:r w:rsidR="00D35C7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la conception,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de </w:t>
      </w:r>
      <w:r w:rsidR="00D35C7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l’application et </w:t>
      </w:r>
      <w:r w:rsidR="00637A8A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de </w:t>
      </w:r>
      <w:r w:rsidR="00D35C7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l’analyse d’expériences en matière de stratégie comportementale </w:t>
      </w:r>
      <w:r w:rsidR="00AC0C7B" w:rsidRPr="00B137D3">
        <w:rPr>
          <w:rFonts w:ascii="Arial" w:eastAsiaTheme="minorHAnsi" w:hAnsi="Arial" w:cs="Arial"/>
          <w:color w:val="000000"/>
          <w:sz w:val="23"/>
          <w:szCs w:val="23"/>
        </w:rPr>
        <w:t>(</w:t>
      </w:r>
      <w:r w:rsidR="00D35C73" w:rsidRPr="00B137D3">
        <w:rPr>
          <w:rFonts w:ascii="Arial" w:eastAsiaTheme="minorHAnsi" w:hAnsi="Arial" w:cs="Arial"/>
          <w:color w:val="000000"/>
          <w:sz w:val="23"/>
          <w:szCs w:val="23"/>
        </w:rPr>
        <w:t>p. ex. essais contrôlés randomisés</w:t>
      </w:r>
      <w:r w:rsidR="00AC0C7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). </w:t>
      </w:r>
      <w:r w:rsidR="00D35C73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Connaissance de la littérature liée à l’étude des comportements et des enjeux qui touchent l’élaboration de politiques publiques et de programmes au Canada. </w:t>
      </w:r>
    </w:p>
    <w:p w:rsidR="006B7DA1" w:rsidRPr="00B137D3" w:rsidRDefault="006B7DA1" w:rsidP="006B7DA1">
      <w:pPr>
        <w:rPr>
          <w:rFonts w:ascii="Arial" w:hAnsi="Arial" w:cs="Arial"/>
          <w:b/>
          <w:sz w:val="22"/>
          <w:szCs w:val="22"/>
        </w:rPr>
      </w:pPr>
    </w:p>
    <w:p w:rsidR="006B7DA1" w:rsidRPr="00B137D3" w:rsidRDefault="00D35C73" w:rsidP="006B7DA1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>Aptitudes ou compétences :</w:t>
      </w:r>
      <w:r w:rsidR="006B7DA1" w:rsidRPr="00B137D3">
        <w:rPr>
          <w:rFonts w:ascii="Arial" w:hAnsi="Arial" w:cs="Arial"/>
          <w:b/>
          <w:sz w:val="22"/>
          <w:szCs w:val="22"/>
        </w:rPr>
        <w:t xml:space="preserve"> </w:t>
      </w:r>
      <w:r w:rsidRPr="00B137D3">
        <w:rPr>
          <w:rFonts w:ascii="Arial" w:hAnsi="Arial" w:cs="Arial"/>
          <w:sz w:val="23"/>
          <w:szCs w:val="23"/>
        </w:rPr>
        <w:t>Excellentes aptitudes en communication orale et écrite.</w:t>
      </w:r>
      <w:r w:rsidRPr="00B137D3">
        <w:rPr>
          <w:rFonts w:ascii="Arial" w:hAnsi="Arial" w:cs="Arial"/>
          <w:sz w:val="22"/>
          <w:szCs w:val="22"/>
        </w:rPr>
        <w:t xml:space="preserve"> </w:t>
      </w:r>
    </w:p>
    <w:p w:rsidR="00AC0C7B" w:rsidRPr="00B137D3" w:rsidRDefault="00AC0C7B" w:rsidP="006B7DA1">
      <w:pPr>
        <w:rPr>
          <w:rFonts w:ascii="Arial" w:hAnsi="Arial" w:cs="Arial"/>
          <w:sz w:val="22"/>
          <w:szCs w:val="22"/>
        </w:rPr>
      </w:pPr>
    </w:p>
    <w:p w:rsidR="006B7DA1" w:rsidRDefault="00D35C73" w:rsidP="006B7DA1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B137D3">
        <w:rPr>
          <w:rFonts w:ascii="Arial" w:hAnsi="Arial" w:cs="Arial"/>
          <w:b/>
        </w:rPr>
        <w:t>Qualités personnelles :</w:t>
      </w:r>
      <w:r w:rsidR="006B7DA1" w:rsidRPr="00B137D3">
        <w:rPr>
          <w:rFonts w:ascii="Arial" w:hAnsi="Arial" w:cs="Arial"/>
          <w:b/>
          <w:sz w:val="22"/>
          <w:szCs w:val="22"/>
        </w:rPr>
        <w:t xml:space="preserve"> </w:t>
      </w:r>
      <w:r w:rsidR="000730AB" w:rsidRPr="00B137D3">
        <w:rPr>
          <w:rFonts w:ascii="Arial" w:eastAsiaTheme="minorHAnsi" w:hAnsi="Arial" w:cs="Arial"/>
          <w:color w:val="000000"/>
          <w:sz w:val="23"/>
          <w:szCs w:val="23"/>
        </w:rPr>
        <w:t xml:space="preserve">Bon esprit d’équipe. </w:t>
      </w:r>
    </w:p>
    <w:p w:rsidR="000C1A7B" w:rsidRDefault="000C1A7B" w:rsidP="006B7DA1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0C1A7B" w:rsidRPr="000C1A7B" w:rsidRDefault="000C1A7B" w:rsidP="000C1A7B">
      <w:pPr>
        <w:rPr>
          <w:rFonts w:ascii="Arial" w:hAnsi="Arial" w:cs="Arial"/>
          <w:b/>
        </w:rPr>
      </w:pPr>
      <w:r w:rsidRPr="000C1A7B">
        <w:rPr>
          <w:rFonts w:ascii="Arial" w:hAnsi="Arial" w:cs="Arial"/>
          <w:b/>
        </w:rPr>
        <w:t>Communiquez avec</w:t>
      </w:r>
      <w:r>
        <w:rPr>
          <w:rFonts w:ascii="Arial" w:hAnsi="Arial" w:cs="Arial"/>
          <w:b/>
        </w:rPr>
        <w:t xml:space="preserve"> </w:t>
      </w:r>
      <w:r w:rsidRPr="000C1A7B">
        <w:rPr>
          <w:rFonts w:ascii="Arial" w:hAnsi="Arial" w:cs="Arial"/>
          <w:b/>
        </w:rPr>
        <w:t>:</w:t>
      </w:r>
    </w:p>
    <w:p w:rsidR="000C1A7B" w:rsidRP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0C1A7B">
        <w:rPr>
          <w:rFonts w:ascii="Arial" w:eastAsiaTheme="minorHAnsi" w:hAnsi="Arial" w:cs="Arial"/>
          <w:color w:val="000000"/>
          <w:sz w:val="23"/>
          <w:szCs w:val="23"/>
        </w:rPr>
        <w:t>Deanna Jamieson</w:t>
      </w:r>
      <w:r w:rsidRPr="000C1A7B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Pr="000C1A7B">
        <w:rPr>
          <w:rFonts w:ascii="Arial" w:eastAsiaTheme="minorHAnsi" w:hAnsi="Arial" w:cs="Arial"/>
          <w:color w:val="000000"/>
          <w:sz w:val="23"/>
          <w:szCs w:val="23"/>
        </w:rPr>
        <w:t>613-992-9356</w:t>
      </w:r>
    </w:p>
    <w:p w:rsidR="000C1A7B" w:rsidRP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</w:rPr>
      </w:pPr>
      <w:hyperlink r:id="rId10" w:history="1">
        <w:r w:rsidRPr="000C1A7B">
          <w:rPr>
            <w:rFonts w:ascii="Arial" w:eastAsiaTheme="minorHAnsi" w:hAnsi="Arial" w:cs="Arial"/>
            <w:color w:val="000000"/>
            <w:sz w:val="23"/>
            <w:szCs w:val="23"/>
          </w:rPr>
          <w:t>deanna.jamieson@horizons.gc.ca</w:t>
        </w:r>
      </w:hyperlink>
    </w:p>
    <w:p w:rsidR="000C1A7B" w:rsidRP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0C1A7B" w:rsidRP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0C1A7B">
        <w:rPr>
          <w:rFonts w:ascii="Arial" w:eastAsiaTheme="minorHAnsi" w:hAnsi="Arial" w:cs="Arial"/>
          <w:color w:val="000000"/>
          <w:sz w:val="23"/>
          <w:szCs w:val="23"/>
        </w:rPr>
        <w:t xml:space="preserve">Horizons de politiques Canada </w:t>
      </w:r>
    </w:p>
    <w:p w:rsidR="000C1A7B" w:rsidRP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</w:rPr>
      </w:pPr>
      <w:hyperlink r:id="rId11" w:history="1">
        <w:r w:rsidRPr="000C1A7B">
          <w:rPr>
            <w:rFonts w:ascii="Arial" w:eastAsiaTheme="minorHAnsi" w:hAnsi="Arial" w:cs="Arial"/>
            <w:color w:val="000000"/>
            <w:sz w:val="23"/>
            <w:szCs w:val="23"/>
          </w:rPr>
          <w:t>www.horizons.gc.ca</w:t>
        </w:r>
      </w:hyperlink>
    </w:p>
    <w:p w:rsidR="000C1A7B" w:rsidRPr="000C1A7B" w:rsidRDefault="000C1A7B" w:rsidP="000C1A7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0C1A7B">
        <w:rPr>
          <w:rFonts w:ascii="Arial" w:eastAsiaTheme="minorHAnsi" w:hAnsi="Arial" w:cs="Arial"/>
          <w:color w:val="000000"/>
          <w:sz w:val="23"/>
          <w:szCs w:val="23"/>
        </w:rPr>
        <w:t>360 Albert Street, 15th Floor, | 360, rue Albert, 15ième étage</w:t>
      </w:r>
    </w:p>
    <w:p w:rsidR="006B7DA1" w:rsidRPr="000C1A7B" w:rsidRDefault="000C1A7B" w:rsidP="00E76EFB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0C1A7B">
        <w:rPr>
          <w:rFonts w:ascii="Arial" w:eastAsiaTheme="minorHAnsi" w:hAnsi="Arial" w:cs="Arial"/>
          <w:color w:val="000000"/>
          <w:sz w:val="23"/>
          <w:szCs w:val="23"/>
        </w:rPr>
        <w:t>Ottawa, ON K1R 7X7</w:t>
      </w:r>
      <w:r w:rsidRPr="000C1A7B">
        <w:rPr>
          <w:rFonts w:ascii="Arial" w:eastAsiaTheme="minorHAnsi" w:hAnsi="Arial" w:cs="Arial"/>
          <w:color w:val="000000"/>
          <w:sz w:val="23"/>
          <w:szCs w:val="23"/>
        </w:rPr>
        <w:br/>
        <w:t xml:space="preserve">Government of Canada </w:t>
      </w:r>
      <w:bookmarkStart w:id="0" w:name="_GoBack"/>
      <w:bookmarkEnd w:id="0"/>
    </w:p>
    <w:sectPr w:rsidR="006B7DA1" w:rsidRPr="000C1A7B" w:rsidSect="009D5E96">
      <w:pgSz w:w="12240" w:h="15840"/>
      <w:pgMar w:top="1080" w:right="1080" w:bottom="15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DF" w:rsidRDefault="000D31DF" w:rsidP="000D31DF">
      <w:r>
        <w:separator/>
      </w:r>
    </w:p>
  </w:endnote>
  <w:endnote w:type="continuationSeparator" w:id="0">
    <w:p w:rsidR="000D31DF" w:rsidRDefault="000D31DF" w:rsidP="000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DF" w:rsidRDefault="000D31DF" w:rsidP="000D31DF">
      <w:r>
        <w:separator/>
      </w:r>
    </w:p>
  </w:footnote>
  <w:footnote w:type="continuationSeparator" w:id="0">
    <w:p w:rsidR="000D31DF" w:rsidRDefault="000D31DF" w:rsidP="000D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9D4"/>
    <w:multiLevelType w:val="hybridMultilevel"/>
    <w:tmpl w:val="D244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D0083"/>
    <w:multiLevelType w:val="hybridMultilevel"/>
    <w:tmpl w:val="150006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E0ADA"/>
    <w:multiLevelType w:val="hybridMultilevel"/>
    <w:tmpl w:val="8264D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3C2C49"/>
    <w:multiLevelType w:val="hybridMultilevel"/>
    <w:tmpl w:val="2C2A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D"/>
    <w:rsid w:val="00004E09"/>
    <w:rsid w:val="00067E14"/>
    <w:rsid w:val="000730AB"/>
    <w:rsid w:val="000C1A7B"/>
    <w:rsid w:val="000D31DF"/>
    <w:rsid w:val="00233DFB"/>
    <w:rsid w:val="00335C46"/>
    <w:rsid w:val="0034549D"/>
    <w:rsid w:val="004169B9"/>
    <w:rsid w:val="004525C5"/>
    <w:rsid w:val="00477B69"/>
    <w:rsid w:val="004B11CD"/>
    <w:rsid w:val="00524C3D"/>
    <w:rsid w:val="005D5881"/>
    <w:rsid w:val="005E0DE3"/>
    <w:rsid w:val="005F0BDD"/>
    <w:rsid w:val="00637A8A"/>
    <w:rsid w:val="006B7DA1"/>
    <w:rsid w:val="006D012A"/>
    <w:rsid w:val="00732BA4"/>
    <w:rsid w:val="00754D9B"/>
    <w:rsid w:val="00761A7C"/>
    <w:rsid w:val="00786DAB"/>
    <w:rsid w:val="007B536F"/>
    <w:rsid w:val="008A7532"/>
    <w:rsid w:val="008D55B6"/>
    <w:rsid w:val="009D5E96"/>
    <w:rsid w:val="00A640F7"/>
    <w:rsid w:val="00A806BE"/>
    <w:rsid w:val="00AC0C7B"/>
    <w:rsid w:val="00AC672F"/>
    <w:rsid w:val="00AD4AE9"/>
    <w:rsid w:val="00AF5ED7"/>
    <w:rsid w:val="00B12BF4"/>
    <w:rsid w:val="00B137D3"/>
    <w:rsid w:val="00B2173E"/>
    <w:rsid w:val="00B706D0"/>
    <w:rsid w:val="00B865DA"/>
    <w:rsid w:val="00C2097D"/>
    <w:rsid w:val="00C34858"/>
    <w:rsid w:val="00CD3CD6"/>
    <w:rsid w:val="00D015DA"/>
    <w:rsid w:val="00D35C73"/>
    <w:rsid w:val="00D57A3E"/>
    <w:rsid w:val="00DB5D92"/>
    <w:rsid w:val="00DE3EAD"/>
    <w:rsid w:val="00DF7385"/>
    <w:rsid w:val="00E62FF4"/>
    <w:rsid w:val="00E71AC0"/>
    <w:rsid w:val="00E76EFB"/>
    <w:rsid w:val="00EC7A90"/>
    <w:rsid w:val="00ED12E8"/>
    <w:rsid w:val="00F011F0"/>
    <w:rsid w:val="00F62CB3"/>
    <w:rsid w:val="00F76BF2"/>
    <w:rsid w:val="00F878F9"/>
    <w:rsid w:val="00F92E55"/>
    <w:rsid w:val="00FB2C69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FB"/>
    <w:rPr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33DFB"/>
    <w:rPr>
      <w:i/>
      <w:iCs/>
    </w:rPr>
  </w:style>
  <w:style w:type="paragraph" w:customStyle="1" w:styleId="Default">
    <w:name w:val="Default"/>
    <w:basedOn w:val="Normal"/>
    <w:rsid w:val="00DB5D92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D5E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1D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1D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31DF"/>
    <w:rPr>
      <w:vertAlign w:val="superscript"/>
    </w:rPr>
  </w:style>
  <w:style w:type="character" w:customStyle="1" w:styleId="A8">
    <w:name w:val="A8"/>
    <w:uiPriority w:val="99"/>
    <w:rsid w:val="00FB2C69"/>
    <w:rPr>
      <w:rFonts w:ascii="Myriad Pro Black" w:hAnsi="Myriad Pro Black" w:cs="Myriad Pro Black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5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AB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AB"/>
    <w:rPr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2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FB"/>
    <w:rPr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33DFB"/>
    <w:rPr>
      <w:i/>
      <w:iCs/>
    </w:rPr>
  </w:style>
  <w:style w:type="paragraph" w:customStyle="1" w:styleId="Default">
    <w:name w:val="Default"/>
    <w:basedOn w:val="Normal"/>
    <w:rsid w:val="00DB5D92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D5E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1D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1D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31DF"/>
    <w:rPr>
      <w:vertAlign w:val="superscript"/>
    </w:rPr>
  </w:style>
  <w:style w:type="character" w:customStyle="1" w:styleId="A8">
    <w:name w:val="A8"/>
    <w:uiPriority w:val="99"/>
    <w:rsid w:val="00FB2C69"/>
    <w:rPr>
      <w:rFonts w:ascii="Myriad Pro Black" w:hAnsi="Myriad Pro Black" w:cs="Myriad Pro Black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5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AB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8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AB"/>
    <w:rPr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2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rizons.gc.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anna.jamieson@horizons.g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bs-sct.gc.ca/psm-fpfm/pay-remuneration/rates-taux/student-etudiants-fr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3B3C-BC3C-4922-B2BF-3DDE0B7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Horizons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Ann Lambe</dc:creator>
  <cp:lastModifiedBy>Deanna Jamieson</cp:lastModifiedBy>
  <cp:revision>2</cp:revision>
  <dcterms:created xsi:type="dcterms:W3CDTF">2015-12-08T18:31:00Z</dcterms:created>
  <dcterms:modified xsi:type="dcterms:W3CDTF">2015-12-08T18:31:00Z</dcterms:modified>
</cp:coreProperties>
</file>